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4B3" w:rsidRDefault="00425ABE">
      <w:pPr>
        <w:rPr>
          <w:rStyle w:val="Emphasis"/>
          <w:b/>
          <w:bCs/>
        </w:rPr>
      </w:pPr>
      <w:bookmarkStart w:id="0" w:name="_GoBack"/>
      <w:bookmarkEnd w:id="0"/>
      <w:r>
        <w:rPr>
          <w:rFonts w:ascii="Arial" w:hAnsi="Arial" w:cs="Arial"/>
          <w:noProof/>
          <w:color w:val="2B6CB9"/>
          <w:sz w:val="18"/>
          <w:szCs w:val="18"/>
          <w:bdr w:val="none" w:sz="0" w:space="0" w:color="auto" w:frame="1"/>
        </w:rPr>
        <w:drawing>
          <wp:anchor distT="0" distB="0" distL="114300" distR="114300" simplePos="0" relativeHeight="251658240" behindDoc="1" locked="0" layoutInCell="1" allowOverlap="1" wp14:anchorId="3FF694A8" wp14:editId="71B1C59F">
            <wp:simplePos x="0" y="0"/>
            <wp:positionH relativeFrom="column">
              <wp:posOffset>2076450</wp:posOffset>
            </wp:positionH>
            <wp:positionV relativeFrom="paragraph">
              <wp:posOffset>-381000</wp:posOffset>
            </wp:positionV>
            <wp:extent cx="1647825" cy="866775"/>
            <wp:effectExtent l="0" t="0" r="0" b="0"/>
            <wp:wrapTight wrapText="bothSides">
              <wp:wrapPolygon edited="0">
                <wp:start x="0" y="0"/>
                <wp:lineTo x="0" y="21363"/>
                <wp:lineTo x="21475" y="21363"/>
                <wp:lineTo x="21475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isius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74B3" w:rsidRDefault="005074B3" w:rsidP="005074B3">
      <w:pPr>
        <w:rPr>
          <w:rFonts w:ascii="Arial" w:hAnsi="Arial" w:cs="Arial"/>
          <w:noProof/>
          <w:color w:val="2B6CB9"/>
          <w:sz w:val="18"/>
          <w:szCs w:val="18"/>
          <w:bdr w:val="none" w:sz="0" w:space="0" w:color="auto" w:frame="1"/>
        </w:rPr>
      </w:pPr>
    </w:p>
    <w:p w:rsidR="005074B3" w:rsidRDefault="005074B3" w:rsidP="005074B3">
      <w:pPr>
        <w:rPr>
          <w:rFonts w:ascii="Arial" w:hAnsi="Arial" w:cs="Arial"/>
          <w:noProof/>
          <w:color w:val="2B6CB9"/>
          <w:sz w:val="18"/>
          <w:szCs w:val="18"/>
          <w:bdr w:val="none" w:sz="0" w:space="0" w:color="auto" w:frame="1"/>
        </w:rPr>
      </w:pPr>
    </w:p>
    <w:p w:rsidR="005074B3" w:rsidRDefault="005074B3" w:rsidP="005074B3">
      <w:pPr>
        <w:rPr>
          <w:rFonts w:ascii="Arial" w:hAnsi="Arial" w:cs="Arial"/>
          <w:noProof/>
          <w:color w:val="2B6CB9"/>
          <w:sz w:val="18"/>
          <w:szCs w:val="18"/>
          <w:bdr w:val="none" w:sz="0" w:space="0" w:color="auto" w:frame="1"/>
        </w:rPr>
      </w:pPr>
    </w:p>
    <w:p w:rsidR="005074B3" w:rsidRDefault="005074B3" w:rsidP="005074B3">
      <w:pPr>
        <w:rPr>
          <w:rStyle w:val="Emphasis"/>
          <w:b/>
          <w:bCs/>
        </w:rPr>
      </w:pPr>
    </w:p>
    <w:p w:rsidR="005074B3" w:rsidRDefault="005074B3">
      <w:pPr>
        <w:rPr>
          <w:rStyle w:val="Emphasis"/>
          <w:b/>
          <w:bCs/>
        </w:rPr>
      </w:pPr>
    </w:p>
    <w:p w:rsidR="005074B3" w:rsidRPr="001F1AEC" w:rsidRDefault="005074B3" w:rsidP="005074B3">
      <w:pPr>
        <w:jc w:val="center"/>
        <w:rPr>
          <w:rStyle w:val="Emphasis"/>
          <w:b/>
          <w:bCs/>
          <w:i w:val="0"/>
          <w:sz w:val="28"/>
          <w:szCs w:val="28"/>
        </w:rPr>
      </w:pPr>
      <w:r w:rsidRPr="001F1AEC">
        <w:rPr>
          <w:rStyle w:val="Emphasis"/>
          <w:b/>
          <w:bCs/>
          <w:i w:val="0"/>
          <w:sz w:val="28"/>
          <w:szCs w:val="28"/>
        </w:rPr>
        <w:t>American Council on the Teaching of Foreign Languages (ACTFL)</w:t>
      </w:r>
    </w:p>
    <w:p w:rsidR="005074B3" w:rsidRPr="001F1AEC" w:rsidRDefault="005074B3" w:rsidP="005074B3">
      <w:pPr>
        <w:jc w:val="center"/>
        <w:rPr>
          <w:rStyle w:val="Emphasis"/>
          <w:b/>
          <w:bCs/>
          <w:i w:val="0"/>
          <w:sz w:val="28"/>
          <w:szCs w:val="28"/>
        </w:rPr>
      </w:pPr>
      <w:r w:rsidRPr="001F1AEC">
        <w:rPr>
          <w:rStyle w:val="Emphasis"/>
          <w:b/>
          <w:bCs/>
          <w:i w:val="0"/>
          <w:sz w:val="28"/>
          <w:szCs w:val="28"/>
        </w:rPr>
        <w:t>Oral Proficiency Interview</w:t>
      </w:r>
    </w:p>
    <w:p w:rsidR="005074B3" w:rsidRDefault="005074B3">
      <w:pPr>
        <w:rPr>
          <w:rStyle w:val="Emphasis"/>
          <w:b/>
          <w:bCs/>
          <w:sz w:val="28"/>
          <w:szCs w:val="28"/>
        </w:rPr>
      </w:pPr>
    </w:p>
    <w:p w:rsidR="001F1AEC" w:rsidRPr="001F1AEC" w:rsidRDefault="001F1AEC">
      <w:pPr>
        <w:rPr>
          <w:rStyle w:val="Emphasis"/>
          <w:b/>
          <w:bCs/>
          <w:sz w:val="28"/>
          <w:szCs w:val="28"/>
        </w:rPr>
      </w:pPr>
    </w:p>
    <w:p w:rsidR="00282B2F" w:rsidRPr="001F1AEC" w:rsidRDefault="005074B3">
      <w:pPr>
        <w:rPr>
          <w:sz w:val="28"/>
          <w:szCs w:val="28"/>
        </w:rPr>
      </w:pPr>
      <w:r w:rsidRPr="001F1AEC">
        <w:rPr>
          <w:rStyle w:val="Emphasis"/>
          <w:b/>
          <w:bCs/>
          <w:sz w:val="28"/>
          <w:szCs w:val="28"/>
        </w:rPr>
        <w:t>What is the ACTFL Oral Proficiency Interview?</w:t>
      </w:r>
      <w:r w:rsidRPr="001F1AEC">
        <w:rPr>
          <w:sz w:val="28"/>
          <w:szCs w:val="28"/>
        </w:rPr>
        <w:br/>
        <w:t>The ACTFL Oral Proficiency Interview, or OPI, is a live 20-30 minute conversation, taking place over the phone, between a trained, certified ACTFL tester and the candidate. It is a valid and reliable test that measures how well a person speaks a language. The procedure is standardized in order to assess global speaking ability, measuring language production holistically by determining patterns of strengths and weaknesses</w:t>
      </w:r>
    </w:p>
    <w:p w:rsidR="005074B3" w:rsidRDefault="005074B3">
      <w:pPr>
        <w:rPr>
          <w:sz w:val="28"/>
          <w:szCs w:val="28"/>
        </w:rPr>
      </w:pPr>
    </w:p>
    <w:p w:rsidR="001F1AEC" w:rsidRPr="001F1AEC" w:rsidRDefault="001F1AEC">
      <w:pPr>
        <w:rPr>
          <w:sz w:val="28"/>
          <w:szCs w:val="28"/>
        </w:rPr>
      </w:pPr>
    </w:p>
    <w:p w:rsidR="005074B3" w:rsidRPr="001F1AEC" w:rsidRDefault="005074B3">
      <w:pPr>
        <w:rPr>
          <w:b/>
          <w:i/>
          <w:sz w:val="28"/>
          <w:szCs w:val="28"/>
        </w:rPr>
      </w:pPr>
      <w:r w:rsidRPr="001F1AEC">
        <w:rPr>
          <w:b/>
          <w:i/>
          <w:sz w:val="28"/>
          <w:szCs w:val="28"/>
        </w:rPr>
        <w:t>How do candidates take the OPI at Canisius College?</w:t>
      </w:r>
    </w:p>
    <w:p w:rsidR="001F1AEC" w:rsidRPr="001F1AEC" w:rsidRDefault="005074B3" w:rsidP="005074B3">
      <w:pPr>
        <w:rPr>
          <w:sz w:val="28"/>
          <w:szCs w:val="28"/>
        </w:rPr>
      </w:pPr>
      <w:r w:rsidRPr="001F1AEC">
        <w:rPr>
          <w:sz w:val="28"/>
          <w:szCs w:val="28"/>
        </w:rPr>
        <w:t xml:space="preserve">Teacher candidates complete the OPI at the </w:t>
      </w:r>
      <w:r w:rsidR="001F1AEC" w:rsidRPr="001F1AEC">
        <w:rPr>
          <w:sz w:val="28"/>
          <w:szCs w:val="28"/>
        </w:rPr>
        <w:t>General Proctor Site at Canisius College</w:t>
      </w:r>
      <w:r w:rsidRPr="001F1AEC">
        <w:rPr>
          <w:sz w:val="28"/>
          <w:szCs w:val="28"/>
        </w:rPr>
        <w:t xml:space="preserve"> </w:t>
      </w:r>
      <w:r w:rsidR="001F1AEC" w:rsidRPr="001F1AEC">
        <w:rPr>
          <w:sz w:val="28"/>
          <w:szCs w:val="28"/>
        </w:rPr>
        <w:t>in Old Main 317</w:t>
      </w:r>
      <w:r w:rsidRPr="001F1AEC">
        <w:rPr>
          <w:sz w:val="28"/>
          <w:szCs w:val="28"/>
        </w:rPr>
        <w:t xml:space="preserve">.  Canisius teacher candidates take the OPI by phone during the semester of </w:t>
      </w:r>
      <w:r w:rsidR="001F1AEC" w:rsidRPr="001F1AEC">
        <w:rPr>
          <w:sz w:val="28"/>
          <w:szCs w:val="28"/>
        </w:rPr>
        <w:t xml:space="preserve">applied </w:t>
      </w:r>
      <w:r w:rsidRPr="001F1AEC">
        <w:rPr>
          <w:sz w:val="28"/>
          <w:szCs w:val="28"/>
        </w:rPr>
        <w:t xml:space="preserve">methods </w:t>
      </w:r>
      <w:r w:rsidR="001F1AEC" w:rsidRPr="001F1AEC">
        <w:rPr>
          <w:sz w:val="28"/>
          <w:szCs w:val="28"/>
        </w:rPr>
        <w:t>(pre student teaching)</w:t>
      </w:r>
      <w:r w:rsidRPr="001F1AEC">
        <w:rPr>
          <w:sz w:val="28"/>
          <w:szCs w:val="28"/>
        </w:rPr>
        <w:t>.  Teacher candidate pays test fee by credit card; no additional proctoring fee.</w:t>
      </w:r>
      <w:r w:rsidR="001F1AEC" w:rsidRPr="001F1AEC">
        <w:rPr>
          <w:sz w:val="28"/>
          <w:szCs w:val="28"/>
        </w:rPr>
        <w:t xml:space="preserve">  The General Proctor Site</w:t>
      </w:r>
      <w:r w:rsidRPr="001F1AEC">
        <w:rPr>
          <w:sz w:val="28"/>
          <w:szCs w:val="28"/>
        </w:rPr>
        <w:t xml:space="preserve"> is open M</w:t>
      </w:r>
      <w:r w:rsidR="001F1AEC" w:rsidRPr="001F1AEC">
        <w:rPr>
          <w:sz w:val="28"/>
          <w:szCs w:val="28"/>
        </w:rPr>
        <w:t>onday-Thursday 8-5, Fridays 8-3</w:t>
      </w:r>
      <w:r w:rsidRPr="001F1AEC">
        <w:rPr>
          <w:sz w:val="28"/>
          <w:szCs w:val="28"/>
        </w:rPr>
        <w:t xml:space="preserve">.  For additional information, please contact </w:t>
      </w:r>
      <w:r w:rsidR="001F1AEC" w:rsidRPr="001F1AEC">
        <w:rPr>
          <w:sz w:val="28"/>
          <w:szCs w:val="28"/>
        </w:rPr>
        <w:t xml:space="preserve">Tracy Callaghan at 716-888-2485, </w:t>
      </w:r>
      <w:hyperlink r:id="rId7" w:history="1">
        <w:r w:rsidR="001F1AEC" w:rsidRPr="001F1AEC">
          <w:rPr>
            <w:rStyle w:val="Hyperlink"/>
            <w:sz w:val="28"/>
            <w:szCs w:val="28"/>
          </w:rPr>
          <w:t>callagh2@canisius.edu</w:t>
        </w:r>
      </w:hyperlink>
      <w:r w:rsidR="001F1AEC" w:rsidRPr="001F1AEC">
        <w:rPr>
          <w:sz w:val="28"/>
          <w:szCs w:val="28"/>
        </w:rPr>
        <w:t xml:space="preserve">. </w:t>
      </w:r>
    </w:p>
    <w:p w:rsidR="001F1AEC" w:rsidRDefault="001F1AEC" w:rsidP="005074B3">
      <w:pPr>
        <w:rPr>
          <w:sz w:val="28"/>
          <w:szCs w:val="28"/>
        </w:rPr>
      </w:pPr>
    </w:p>
    <w:p w:rsidR="001F1AEC" w:rsidRPr="001F1AEC" w:rsidRDefault="001F1AEC" w:rsidP="005074B3">
      <w:pPr>
        <w:rPr>
          <w:sz w:val="28"/>
          <w:szCs w:val="28"/>
        </w:rPr>
      </w:pPr>
    </w:p>
    <w:p w:rsidR="001F1AEC" w:rsidRPr="001F1AEC" w:rsidRDefault="001F1AEC" w:rsidP="005074B3">
      <w:pPr>
        <w:rPr>
          <w:b/>
          <w:i/>
          <w:sz w:val="28"/>
          <w:szCs w:val="28"/>
        </w:rPr>
      </w:pPr>
      <w:r w:rsidRPr="001F1AEC">
        <w:rPr>
          <w:b/>
          <w:i/>
          <w:sz w:val="28"/>
          <w:szCs w:val="28"/>
        </w:rPr>
        <w:t>What is the timeline for taking the OPI?</w:t>
      </w:r>
    </w:p>
    <w:p w:rsidR="005074B3" w:rsidRDefault="001F1AEC" w:rsidP="005074B3">
      <w:pPr>
        <w:rPr>
          <w:sz w:val="28"/>
          <w:szCs w:val="28"/>
        </w:rPr>
      </w:pPr>
      <w:r w:rsidRPr="001F1AEC">
        <w:rPr>
          <w:sz w:val="28"/>
          <w:szCs w:val="28"/>
        </w:rPr>
        <w:t xml:space="preserve"> In order to be ready for student teaching, candidates must get in touch with Tracy by October 1 (for spring student teaching) or February 1 (for fall student teaching).  Please note that some candidates may wish to do a language immersion experience before completing the OPI in order to enhance their oral proficiency.</w:t>
      </w:r>
    </w:p>
    <w:p w:rsidR="001F1AEC" w:rsidRDefault="001F1AEC" w:rsidP="005074B3">
      <w:pPr>
        <w:rPr>
          <w:sz w:val="28"/>
          <w:szCs w:val="28"/>
        </w:rPr>
      </w:pPr>
    </w:p>
    <w:p w:rsidR="001F1AEC" w:rsidRDefault="001F1AEC" w:rsidP="005074B3">
      <w:pPr>
        <w:rPr>
          <w:sz w:val="28"/>
          <w:szCs w:val="28"/>
        </w:rPr>
      </w:pPr>
    </w:p>
    <w:p w:rsidR="001F1AEC" w:rsidRDefault="001F1AEC" w:rsidP="005074B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What do candidates do with their score report?</w:t>
      </w:r>
    </w:p>
    <w:p w:rsidR="001F1AEC" w:rsidRPr="001F1AEC" w:rsidRDefault="001F1AEC" w:rsidP="005074B3">
      <w:pPr>
        <w:rPr>
          <w:rStyle w:val="Hyperlink"/>
          <w:color w:val="auto"/>
          <w:sz w:val="28"/>
          <w:szCs w:val="28"/>
          <w:u w:val="none"/>
        </w:rPr>
      </w:pPr>
      <w:r>
        <w:rPr>
          <w:sz w:val="28"/>
          <w:szCs w:val="28"/>
        </w:rPr>
        <w:t xml:space="preserve">Candidates will scan their OPI score and submit it as a common assignment on </w:t>
      </w:r>
      <w:proofErr w:type="spellStart"/>
      <w:r>
        <w:rPr>
          <w:sz w:val="28"/>
          <w:szCs w:val="28"/>
        </w:rPr>
        <w:t>TaskStream</w:t>
      </w:r>
      <w:proofErr w:type="spellEnd"/>
      <w:r>
        <w:rPr>
          <w:sz w:val="28"/>
          <w:szCs w:val="28"/>
        </w:rPr>
        <w:t>.  They will select their applied methods (pre student teaching) instructor as the evaluator for this assignment.</w:t>
      </w:r>
    </w:p>
    <w:sectPr w:rsidR="001F1AEC" w:rsidRPr="001F1AEC" w:rsidSect="00282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4B3"/>
    <w:rsid w:val="00183AE7"/>
    <w:rsid w:val="00195050"/>
    <w:rsid w:val="001F1AEC"/>
    <w:rsid w:val="00282B2F"/>
    <w:rsid w:val="00425ABE"/>
    <w:rsid w:val="005074B3"/>
    <w:rsid w:val="008F031A"/>
    <w:rsid w:val="00A82BC2"/>
    <w:rsid w:val="00B966E5"/>
    <w:rsid w:val="00E11B08"/>
    <w:rsid w:val="00F3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074B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4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4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074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074B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4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4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074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3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1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7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49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6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6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35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23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12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06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5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mailto:callagh2@canisius.edu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4EA70-DE81-1D44-A184-FFBD7907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Canisius College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Jenine Nowakowski</cp:lastModifiedBy>
  <cp:revision>2</cp:revision>
  <cp:lastPrinted>2015-04-13T19:01:00Z</cp:lastPrinted>
  <dcterms:created xsi:type="dcterms:W3CDTF">2015-12-31T04:24:00Z</dcterms:created>
  <dcterms:modified xsi:type="dcterms:W3CDTF">2015-12-31T04:24:00Z</dcterms:modified>
</cp:coreProperties>
</file>